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CEAE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0D02CF7E" w14:textId="77777777" w:rsidR="00CD4140" w:rsidRPr="00691393" w:rsidRDefault="00253DCE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7521701A" wp14:editId="1ED69CFE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3FDEC5ED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605BF4EE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42D03483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487B6E90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424D7682" w14:textId="77777777" w:rsidR="00CD4140" w:rsidRDefault="0050172D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2A518661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30C83E28" w14:textId="77777777"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0D0551B6" w14:textId="77777777" w:rsidR="009355DE" w:rsidRDefault="009355DE" w:rsidP="00445155"/>
    <w:p w14:paraId="201C6A0B" w14:textId="77777777" w:rsidR="003332B0" w:rsidRDefault="003332B0" w:rsidP="00445155"/>
    <w:p w14:paraId="7D1CE0F0" w14:textId="77777777" w:rsidR="003332B0" w:rsidRPr="00EE2AAF" w:rsidRDefault="00EE2AAF" w:rsidP="003332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2AAF">
        <w:rPr>
          <w:sz w:val="28"/>
          <w:szCs w:val="28"/>
        </w:rPr>
        <w:t>Sosnowiec.</w:t>
      </w:r>
      <w:r w:rsidR="003F617C">
        <w:rPr>
          <w:sz w:val="28"/>
          <w:szCs w:val="28"/>
        </w:rPr>
        <w:t>10</w:t>
      </w:r>
      <w:r w:rsidRPr="00EE2AAF">
        <w:rPr>
          <w:sz w:val="28"/>
          <w:szCs w:val="28"/>
        </w:rPr>
        <w:t>.02.2023</w:t>
      </w:r>
    </w:p>
    <w:p w14:paraId="57EE5930" w14:textId="77777777"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EE2AAF">
        <w:rPr>
          <w:b/>
          <w:sz w:val="28"/>
          <w:szCs w:val="28"/>
        </w:rPr>
        <w:t>09</w:t>
      </w:r>
      <w:r w:rsidR="00AE2A1B">
        <w:rPr>
          <w:b/>
          <w:sz w:val="28"/>
          <w:szCs w:val="28"/>
        </w:rPr>
        <w:t>/EFS 9.2.1/202</w:t>
      </w:r>
      <w:r w:rsidR="003D44F6">
        <w:rPr>
          <w:b/>
          <w:sz w:val="28"/>
          <w:szCs w:val="28"/>
        </w:rPr>
        <w:t>3</w:t>
      </w:r>
    </w:p>
    <w:p w14:paraId="6DE065F8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E2AAF">
        <w:rPr>
          <w:b/>
          <w:sz w:val="28"/>
          <w:szCs w:val="28"/>
        </w:rPr>
        <w:t>poniżej</w:t>
      </w:r>
      <w:r w:rsidRPr="00360CBF">
        <w:rPr>
          <w:b/>
          <w:sz w:val="28"/>
          <w:szCs w:val="28"/>
        </w:rPr>
        <w:t xml:space="preserve"> 50 tys. zł</w:t>
      </w:r>
      <w:r w:rsidR="00DE6C87">
        <w:rPr>
          <w:b/>
          <w:sz w:val="28"/>
          <w:szCs w:val="28"/>
        </w:rPr>
        <w:t xml:space="preserve"> netto</w:t>
      </w:r>
    </w:p>
    <w:p w14:paraId="54B4CBA3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AE2A1B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E2A1B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E2A1B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AE2A1B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AE2A1B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E2A1B" w:rsidRPr="00425ED7">
        <w:rPr>
          <w:rFonts w:ascii="Calibri" w:hAnsi="Calibri" w:cs="Calibri"/>
          <w:lang w:eastAsia="zh-CN"/>
        </w:rPr>
        <w:t>współfinansowanego ze środków Europejskiego Funduszu Społecznego w ramach RPO WSL 2014-2020r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 zaprasza do składania ofert na </w:t>
      </w:r>
      <w:r w:rsidR="00182FD8" w:rsidRPr="00CD4140">
        <w:rPr>
          <w:b/>
        </w:rPr>
        <w:t>usługi pielęgniarskie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36F4FF76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6FF92423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43EC3D7D" w14:textId="77777777" w:rsidR="006D08CB" w:rsidRPr="00845C3B" w:rsidRDefault="00845C3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45C3B">
        <w:rPr>
          <w:rFonts w:ascii="Calibri" w:hAnsi="Calibri" w:cs="Calibri"/>
          <w:bCs/>
          <w:sz w:val="22"/>
          <w:szCs w:val="22"/>
          <w:lang w:eastAsia="zh-CN"/>
        </w:rPr>
        <w:t>85141200-1 - Usługi świadczone przez pielęgniarki</w:t>
      </w:r>
    </w:p>
    <w:p w14:paraId="58FFB81B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6546B986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65484216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01C423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772564B0" w14:textId="77777777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14:paraId="7094A7E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11FB0FD5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679B250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AE2A1B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45E8AF1F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0A9324D6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49F8E0C9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6BD45DF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4D2538CD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2800DE53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445DE56D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6137672E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257E2EB9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EE2AAF">
        <w:rPr>
          <w:rFonts w:ascii="Calibri" w:eastAsia="Verdana" w:hAnsi="Calibri" w:cs="Calibri"/>
          <w:sz w:val="22"/>
          <w:szCs w:val="22"/>
          <w:lang w:eastAsia="zh-CN"/>
        </w:rPr>
        <w:t>09</w:t>
      </w:r>
      <w:r w:rsidR="00AE2A1B">
        <w:rPr>
          <w:rFonts w:ascii="Calibri" w:eastAsia="Verdana" w:hAnsi="Calibri" w:cs="Calibri"/>
          <w:sz w:val="22"/>
          <w:szCs w:val="22"/>
          <w:lang w:eastAsia="zh-CN"/>
        </w:rPr>
        <w:t>/EFS 9.2.1/202</w:t>
      </w:r>
      <w:r w:rsidR="00EE2AAF">
        <w:rPr>
          <w:rFonts w:ascii="Calibri" w:eastAsia="Verdana" w:hAnsi="Calibri" w:cs="Calibri"/>
          <w:sz w:val="22"/>
          <w:szCs w:val="22"/>
          <w:lang w:eastAsia="zh-CN"/>
        </w:rPr>
        <w:t>3</w:t>
      </w:r>
    </w:p>
    <w:p w14:paraId="74D32EF8" w14:textId="77777777"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64BDD009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60E2D17E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88BC203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Funduszu Spójności na lata 2014-2020</w:t>
      </w:r>
      <w:r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249ED4DE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7C591226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001A4347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A93BDDB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60E743D7" w14:textId="77777777"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>obejmuje świadczenie usługi pielęgniarskiej na podstawie umowy cywilno-prawnej.</w:t>
      </w:r>
    </w:p>
    <w:p w14:paraId="232269B0" w14:textId="77777777" w:rsidR="00AC4108" w:rsidRPr="00AC4108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ma być świadczona </w:t>
      </w:r>
      <w:r w:rsidR="008E2A96">
        <w:rPr>
          <w:rFonts w:eastAsia="Calibri"/>
          <w:lang w:eastAsia="en-US"/>
        </w:rPr>
        <w:t xml:space="preserve"> </w:t>
      </w:r>
      <w:r w:rsidR="00AC4108">
        <w:rPr>
          <w:rFonts w:eastAsia="Calibri"/>
          <w:lang w:eastAsia="en-US"/>
        </w:rPr>
        <w:t xml:space="preserve">w opiece środowiskowej  </w:t>
      </w:r>
    </w:p>
    <w:p w14:paraId="7A3D4047" w14:textId="77777777"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14:paraId="1AD7DE9A" w14:textId="77777777"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robocze ale w razie potrzeby również w dni wolne od pracy.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pielęgniarki 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14:paraId="668388B1" w14:textId="77777777"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Praca w takie dni jak Wigilia, Święta Bożego Narodzenia, Wielki Piątek , Wielka Sobota, Święta Wielkanocne, Sylwester i Nowy Rok będzie dodatkowo opłacany , tj. stawka godzinowa za pracę będzie podniesiona o 50%.</w:t>
      </w:r>
    </w:p>
    <w:p w14:paraId="5F1FEAD4" w14:textId="77777777"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14:paraId="6680C2DF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74C0C883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2D95230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do </w:t>
      </w:r>
      <w:r w:rsidRPr="00070A73">
        <w:rPr>
          <w:rFonts w:eastAsia="Calibri"/>
          <w:lang w:eastAsia="en-US"/>
        </w:rPr>
        <w:t xml:space="preserve"> 3</w:t>
      </w:r>
      <w:r w:rsidR="00EE2AAF">
        <w:rPr>
          <w:rFonts w:eastAsia="Calibri"/>
          <w:lang w:eastAsia="en-US"/>
        </w:rPr>
        <w:t>0</w:t>
      </w:r>
      <w:r w:rsidRPr="00070A73">
        <w:rPr>
          <w:rFonts w:eastAsia="Calibri"/>
          <w:lang w:eastAsia="en-US"/>
        </w:rPr>
        <w:t>.</w:t>
      </w:r>
      <w:r w:rsidR="00AE2A1B">
        <w:rPr>
          <w:rFonts w:eastAsia="Calibri"/>
          <w:lang w:eastAsia="en-US"/>
        </w:rPr>
        <w:t>0</w:t>
      </w:r>
      <w:r w:rsidR="00EE2AAF">
        <w:rPr>
          <w:rFonts w:eastAsia="Calibri"/>
          <w:lang w:eastAsia="en-US"/>
        </w:rPr>
        <w:t>6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AE2A1B">
        <w:rPr>
          <w:rFonts w:eastAsia="Calibri"/>
          <w:lang w:eastAsia="en-US"/>
        </w:rPr>
        <w:t>3</w:t>
      </w:r>
      <w:r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 zapotrzebowaniem na wizyty pielęgniarskie</w:t>
      </w:r>
      <w:r w:rsidR="00E96C46">
        <w:rPr>
          <w:rFonts w:eastAsia="Calibri"/>
          <w:lang w:eastAsia="en-US"/>
        </w:rPr>
        <w:t>.</w:t>
      </w:r>
    </w:p>
    <w:p w14:paraId="0632B403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2308FE2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7C0CC52A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10F4C3F6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190E76D5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AF18146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aktualne prawo wykonywania zawodu pielęgniarki,</w:t>
      </w:r>
    </w:p>
    <w:p w14:paraId="7DF94799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8E2A96">
        <w:rPr>
          <w:rFonts w:eastAsia="Calibri"/>
          <w:lang w:eastAsia="en-US"/>
        </w:rPr>
        <w:t>co najmniej</w:t>
      </w:r>
      <w:r w:rsidR="00AC4108" w:rsidRPr="00AC4108"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średnie wykształcenie </w:t>
      </w:r>
      <w:r w:rsidR="008E2A96">
        <w:rPr>
          <w:rFonts w:eastAsia="Calibri"/>
          <w:lang w:eastAsia="en-US"/>
        </w:rPr>
        <w:t xml:space="preserve">pielęgniarskie </w:t>
      </w:r>
      <w:r w:rsidR="00AC4108" w:rsidRPr="00AC4108">
        <w:rPr>
          <w:rFonts w:eastAsia="Calibri"/>
          <w:lang w:eastAsia="en-US"/>
        </w:rPr>
        <w:t>,</w:t>
      </w:r>
    </w:p>
    <w:p w14:paraId="5F3CAB5F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doświadczenie w pracy </w:t>
      </w:r>
      <w:r w:rsidR="00C158D9">
        <w:rPr>
          <w:rFonts w:eastAsia="Calibri"/>
          <w:lang w:eastAsia="en-US"/>
        </w:rPr>
        <w:t xml:space="preserve">pielęgniarskiej </w:t>
      </w:r>
      <w:r w:rsidR="00AC4108" w:rsidRPr="00AC4108">
        <w:rPr>
          <w:rFonts w:eastAsia="Calibri"/>
          <w:lang w:eastAsia="en-US"/>
        </w:rPr>
        <w:t xml:space="preserve"> min. 2 lata</w:t>
      </w:r>
    </w:p>
    <w:p w14:paraId="35873FD7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20A8FD44" w14:textId="77777777"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14:paraId="0E08CB3C" w14:textId="77777777" w:rsidR="00E57EE4" w:rsidRDefault="00E57EE4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</w:p>
    <w:p w14:paraId="026972C0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2263DAD6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6BCF083A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007B8AAA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1E835D53" w14:textId="77777777"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309FEA28" w14:textId="77777777"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pracy.</w:t>
      </w:r>
    </w:p>
    <w:p w14:paraId="01E6DDEF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10DCCA0B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Oświadczenie o braku powiązań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013FCA47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 xml:space="preserve">bez uwzględnienia godzin oferowanych w ofercie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14:paraId="073FB018" w14:textId="77777777" w:rsidR="00E57EE4" w:rsidRPr="00C158D9" w:rsidRDefault="00E57EE4" w:rsidP="00E57EE4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 xml:space="preserve">W przypadku gdy Oferent jest osobą prawną dołącza do oferty wykaz osób , które będą świadczyć usługę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14:paraId="31533D95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616E54F1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60BD9D41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546C28B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 , którzy:</w:t>
      </w:r>
    </w:p>
    <w:p w14:paraId="66A238F8" w14:textId="77777777"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 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14:paraId="78706033" w14:textId="77777777"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EE2AAF">
        <w:rPr>
          <w:rFonts w:ascii="Calibri" w:eastAsia="Verdana" w:hAnsi="Calibri" w:cs="Calibri"/>
          <w:sz w:val="22"/>
        </w:rPr>
        <w:t xml:space="preserve">darzenie określone w pkt. 1 </w:t>
      </w:r>
    </w:p>
    <w:p w14:paraId="0A278A21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29EAC25F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E2F7AB3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6E82E3BD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2E67CB23" w14:textId="77777777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5EE8D2C2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24EA3C89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4921285D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18165466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2BB09403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>świadczenie usługi pielęgniarskiej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702B30">
        <w:rPr>
          <w:rFonts w:ascii="Calibri" w:hAnsi="Calibri" w:cs="Calibri"/>
          <w:b/>
          <w:sz w:val="22"/>
        </w:rPr>
        <w:t>………………..</w:t>
      </w:r>
      <w:r w:rsidR="00C158D9">
        <w:rPr>
          <w:rFonts w:ascii="Calibri" w:hAnsi="Calibri" w:cs="Calibri"/>
          <w:b/>
          <w:sz w:val="22"/>
        </w:rPr>
        <w:t>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302B1174" w14:textId="77777777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  w  miesiącu w tym przedziale czasowym.</w:t>
      </w:r>
    </w:p>
    <w:p w14:paraId="7F496B39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3EA372FA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</w:t>
      </w:r>
      <w:r w:rsidRPr="00843C0A">
        <w:rPr>
          <w:rFonts w:ascii="Calibri" w:eastAsia="Verdana" w:hAnsi="Calibri" w:cs="Calibri"/>
          <w:sz w:val="22"/>
        </w:rPr>
        <w:lastRenderedPageBreak/>
        <w:t xml:space="preserve">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1F7EB1AC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5A72C696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00393DB1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F005092" w14:textId="77777777"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 w miesiącu, stawkę jednostkową brutto za godzinę pracy.</w:t>
      </w:r>
    </w:p>
    <w:p w14:paraId="3A1FBD65" w14:textId="77777777"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14:paraId="6EB19113" w14:textId="77777777"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2D176763" w14:textId="77777777"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14:paraId="75E60093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13B10FC6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0AB6E8E3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26110AA8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F820A5">
        <w:rPr>
          <w:rFonts w:ascii="Calibri" w:hAnsi="Calibri" w:cs="Calibri"/>
          <w:b/>
          <w:sz w:val="22"/>
          <w:szCs w:val="22"/>
          <w:u w:val="single"/>
        </w:rPr>
        <w:t>20</w:t>
      </w:r>
      <w:r w:rsidR="00AE2A1B">
        <w:rPr>
          <w:rFonts w:ascii="Calibri" w:hAnsi="Calibri" w:cs="Calibri"/>
          <w:b/>
          <w:sz w:val="22"/>
          <w:szCs w:val="22"/>
          <w:u w:val="single"/>
        </w:rPr>
        <w:t>.0</w:t>
      </w:r>
      <w:r w:rsidR="00EE2AAF">
        <w:rPr>
          <w:rFonts w:ascii="Calibri" w:hAnsi="Calibri" w:cs="Calibri"/>
          <w:b/>
          <w:sz w:val="22"/>
          <w:szCs w:val="22"/>
          <w:u w:val="single"/>
        </w:rPr>
        <w:t>2</w:t>
      </w:r>
      <w:r w:rsidR="00AE2A1B">
        <w:rPr>
          <w:rFonts w:ascii="Calibri" w:hAnsi="Calibri" w:cs="Calibri"/>
          <w:b/>
          <w:sz w:val="22"/>
          <w:szCs w:val="22"/>
          <w:u w:val="single"/>
        </w:rPr>
        <w:t>.202</w:t>
      </w:r>
      <w:r w:rsidR="00EE2AAF">
        <w:rPr>
          <w:rFonts w:ascii="Calibri" w:hAnsi="Calibri" w:cs="Calibri"/>
          <w:b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AE2A1B">
        <w:rPr>
          <w:rFonts w:ascii="Calibri" w:hAnsi="Calibri" w:cs="Calibri"/>
          <w:b/>
          <w:spacing w:val="4"/>
          <w:sz w:val="22"/>
          <w:szCs w:val="22"/>
          <w:u w:val="single"/>
        </w:rPr>
        <w:t>5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76D29FBA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09469477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73BA504D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>świadczenie usługi pielęgniarskiej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F820A5">
        <w:rPr>
          <w:rFonts w:ascii="Calibri" w:hAnsi="Calibri" w:cs="Calibri"/>
          <w:b/>
          <w:sz w:val="22"/>
          <w:lang w:eastAsia="zh-CN"/>
        </w:rPr>
        <w:t>20</w:t>
      </w:r>
      <w:r w:rsidR="00AE2A1B">
        <w:rPr>
          <w:rFonts w:ascii="Calibri" w:hAnsi="Calibri" w:cs="Calibri"/>
          <w:b/>
          <w:sz w:val="22"/>
          <w:lang w:eastAsia="zh-CN"/>
        </w:rPr>
        <w:t>.0</w:t>
      </w:r>
      <w:r w:rsidR="00EE2AAF">
        <w:rPr>
          <w:rFonts w:ascii="Calibri" w:hAnsi="Calibri" w:cs="Calibri"/>
          <w:b/>
          <w:sz w:val="22"/>
          <w:lang w:eastAsia="zh-CN"/>
        </w:rPr>
        <w:t>2</w:t>
      </w:r>
      <w:r w:rsidR="00AE2A1B">
        <w:rPr>
          <w:rFonts w:ascii="Calibri" w:hAnsi="Calibri" w:cs="Calibri"/>
          <w:b/>
          <w:sz w:val="22"/>
          <w:lang w:eastAsia="zh-CN"/>
        </w:rPr>
        <w:t>.202</w:t>
      </w:r>
      <w:r w:rsidR="00EE2AAF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4DA78738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2EFB42E4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7841EC9B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F820A5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="00AE2A1B">
        <w:rPr>
          <w:rFonts w:ascii="Calibri" w:hAnsi="Calibri" w:cs="Calibri"/>
          <w:b/>
          <w:sz w:val="22"/>
          <w:szCs w:val="22"/>
          <w:u w:val="single"/>
          <w:lang w:eastAsia="zh-CN"/>
        </w:rPr>
        <w:t>.0</w:t>
      </w:r>
      <w:r w:rsidR="00EE2AAF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AE2A1B">
        <w:rPr>
          <w:rFonts w:ascii="Calibri" w:hAnsi="Calibri" w:cs="Calibri"/>
          <w:b/>
          <w:sz w:val="22"/>
          <w:szCs w:val="22"/>
          <w:u w:val="single"/>
          <w:lang w:eastAsia="zh-CN"/>
        </w:rPr>
        <w:t>.202</w:t>
      </w:r>
      <w:r w:rsidR="00EE2AAF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AE2A1B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5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</w:t>
      </w:r>
      <w:r w:rsidR="00AE2A1B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141EF6F7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02F51091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0E892BF3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3F67AF45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07BBB812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47914163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2A864B4F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7D03CF17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162CAACE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4AA167A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2D11F15F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2465877B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660B357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570F6136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041130EF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228EEBE9" w14:textId="77777777"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FFD0E21" w14:textId="77777777" w:rsidR="00B74335" w:rsidRDefault="00B74335" w:rsidP="006249ED">
      <w:pPr>
        <w:spacing w:line="360" w:lineRule="auto"/>
        <w:ind w:left="426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0A13E295" w14:textId="77777777"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godzin pracy:</w:t>
      </w:r>
    </w:p>
    <w:p w14:paraId="37E81265" w14:textId="77777777" w:rsidR="000A28B3" w:rsidRPr="000A28B3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D67C1B">
        <w:rPr>
          <w:rFonts w:ascii="Calibri" w:hAnsi="Calibri" w:cs="Calibri"/>
          <w:bCs/>
          <w:sz w:val="22"/>
          <w:szCs w:val="22"/>
        </w:rPr>
        <w:t>80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0A28B3">
        <w:rPr>
          <w:rFonts w:ascii="Calibri" w:hAnsi="Calibri" w:cs="Calibri"/>
          <w:bCs/>
          <w:sz w:val="22"/>
          <w:szCs w:val="22"/>
        </w:rPr>
        <w:t xml:space="preserve"> , w całym okresie realizacji łącznie </w:t>
      </w:r>
      <w:r w:rsidR="00EE2AAF">
        <w:rPr>
          <w:rFonts w:ascii="Calibri" w:hAnsi="Calibri" w:cs="Calibri"/>
          <w:bCs/>
          <w:sz w:val="22"/>
          <w:szCs w:val="22"/>
        </w:rPr>
        <w:t>360</w:t>
      </w:r>
      <w:r w:rsidR="000A28B3">
        <w:rPr>
          <w:rFonts w:ascii="Calibri" w:hAnsi="Calibri" w:cs="Calibri"/>
          <w:bCs/>
          <w:sz w:val="22"/>
          <w:szCs w:val="22"/>
        </w:rPr>
        <w:t xml:space="preserve"> godzin.</w:t>
      </w:r>
    </w:p>
    <w:p w14:paraId="5D16833B" w14:textId="77777777"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 xml:space="preserve">tych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 xml:space="preserve">ych oferty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14:paraId="43B566C5" w14:textId="77777777"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przewiduje zatrudnienie od 1 do 3 osób w zależności od zaoferowanych przez Oferentów liczb godzin.</w:t>
      </w:r>
    </w:p>
    <w:p w14:paraId="21346278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71B25355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6133D77E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CDEE11B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2D6E849A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03E1DFD7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0B54F10F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54B07788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10E68742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76DFA333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7C84CC84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0DA6E0DD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560D29F8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520FE4F6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46CF915A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2407F753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60A7E585" w14:textId="77777777" w:rsidR="00FD0FBE" w:rsidRDefault="009A7BAF" w:rsidP="00182BAB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FD0FBE">
        <w:rPr>
          <w:rFonts w:ascii="Calibri" w:hAnsi="Calibri" w:cs="Calibri"/>
          <w:sz w:val="22"/>
          <w:szCs w:val="22"/>
        </w:rPr>
        <w:lastRenderedPageBreak/>
        <w:t>Zamawiający zastrzega sobie unieważnienie postępowania w sytuacji gdy wszystkie oferty przewyższą budżet Zamawiającego przeznaczony na ten cel.</w:t>
      </w:r>
      <w:r w:rsidR="00962006" w:rsidRPr="00FD0FBE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  <w:r w:rsidR="00EE2AAF" w:rsidRPr="00FD0FBE">
        <w:rPr>
          <w:rFonts w:ascii="Calibri" w:hAnsi="Calibri" w:cs="Calibri"/>
          <w:sz w:val="22"/>
          <w:szCs w:val="22"/>
        </w:rPr>
        <w:t xml:space="preserve"> </w:t>
      </w:r>
    </w:p>
    <w:p w14:paraId="241D0C44" w14:textId="77777777" w:rsidR="000B3412" w:rsidRPr="00FD0FBE" w:rsidRDefault="00962006" w:rsidP="00182BAB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FD0FBE"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096C443B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D67C1B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19822F67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32613D17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5771577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: Zakres obowiązków na stanowisku pielęgniarki w opiece środowiskowej.</w:t>
      </w:r>
    </w:p>
    <w:p w14:paraId="3234A42E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14:paraId="288B448A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01D13515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51EE1D07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14:paraId="36DC6A71" w14:textId="77777777"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: Wzór umowy dla opieki środowiskowej.</w:t>
      </w:r>
    </w:p>
    <w:p w14:paraId="40EC33D0" w14:textId="77777777"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 : Tabela osób wykonujących zlecenie</w:t>
      </w:r>
    </w:p>
    <w:p w14:paraId="408C8655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6A0A4790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2768539A" w14:textId="77777777" w:rsidR="003E6B3F" w:rsidRDefault="003E6B3F" w:rsidP="00D15C61"/>
    <w:p w14:paraId="685C1130" w14:textId="77777777" w:rsidR="00D15C61" w:rsidRDefault="00D15C61" w:rsidP="00865A92"/>
    <w:p w14:paraId="2F0C3AE6" w14:textId="77777777" w:rsidR="00865A92" w:rsidRDefault="00865A92" w:rsidP="00445155"/>
    <w:p w14:paraId="033C68F1" w14:textId="77777777" w:rsidR="00FF76D6" w:rsidRDefault="00FF76D6" w:rsidP="00445155"/>
    <w:p w14:paraId="3F92A1CB" w14:textId="77777777" w:rsidR="00FF76D6" w:rsidRDefault="00FF76D6" w:rsidP="00445155"/>
    <w:p w14:paraId="7755C415" w14:textId="77777777" w:rsidR="003D36C9" w:rsidRDefault="003D36C9" w:rsidP="00445155"/>
    <w:p w14:paraId="30505A95" w14:textId="77777777"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14:paraId="15AFD0D6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14EB58E4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23BDF0AE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48C7127C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181CFFA2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2B87A280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0D71C844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611CA248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228A8C3C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383298BD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081A5452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18BB" w14:textId="77777777" w:rsidR="0050172D" w:rsidRDefault="0050172D" w:rsidP="00E533A1">
      <w:r>
        <w:separator/>
      </w:r>
    </w:p>
  </w:endnote>
  <w:endnote w:type="continuationSeparator" w:id="0">
    <w:p w14:paraId="2B561D76" w14:textId="77777777" w:rsidR="0050172D" w:rsidRDefault="0050172D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B0A4" w14:textId="77777777" w:rsidR="005945E4" w:rsidRDefault="00253DCE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1496DB78" wp14:editId="7A6E4256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339C" w14:textId="77777777" w:rsidR="0050172D" w:rsidRDefault="0050172D" w:rsidP="00E533A1">
      <w:r>
        <w:separator/>
      </w:r>
    </w:p>
  </w:footnote>
  <w:footnote w:type="continuationSeparator" w:id="0">
    <w:p w14:paraId="3C042878" w14:textId="77777777" w:rsidR="0050172D" w:rsidRDefault="0050172D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2235">
    <w:abstractNumId w:val="5"/>
  </w:num>
  <w:num w:numId="2" w16cid:durableId="1238325677">
    <w:abstractNumId w:val="4"/>
  </w:num>
  <w:num w:numId="3" w16cid:durableId="144707060">
    <w:abstractNumId w:val="1"/>
  </w:num>
  <w:num w:numId="4" w16cid:durableId="2053770582">
    <w:abstractNumId w:val="7"/>
  </w:num>
  <w:num w:numId="5" w16cid:durableId="1457529365">
    <w:abstractNumId w:val="2"/>
  </w:num>
  <w:num w:numId="6" w16cid:durableId="728648013">
    <w:abstractNumId w:val="9"/>
  </w:num>
  <w:num w:numId="7" w16cid:durableId="1623345505">
    <w:abstractNumId w:val="16"/>
  </w:num>
  <w:num w:numId="8" w16cid:durableId="1190602681">
    <w:abstractNumId w:val="8"/>
  </w:num>
  <w:num w:numId="9" w16cid:durableId="801119903">
    <w:abstractNumId w:val="6"/>
  </w:num>
  <w:num w:numId="10" w16cid:durableId="35088289">
    <w:abstractNumId w:val="15"/>
  </w:num>
  <w:num w:numId="11" w16cid:durableId="1226642258">
    <w:abstractNumId w:val="11"/>
  </w:num>
  <w:num w:numId="12" w16cid:durableId="1410928436">
    <w:abstractNumId w:val="3"/>
  </w:num>
  <w:num w:numId="13" w16cid:durableId="4984213">
    <w:abstractNumId w:val="14"/>
  </w:num>
  <w:num w:numId="14" w16cid:durableId="1101149491">
    <w:abstractNumId w:val="12"/>
  </w:num>
  <w:num w:numId="15" w16cid:durableId="341515210">
    <w:abstractNumId w:val="0"/>
  </w:num>
  <w:num w:numId="16" w16cid:durableId="952320988">
    <w:abstractNumId w:val="13"/>
  </w:num>
  <w:num w:numId="17" w16cid:durableId="34321430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802D2"/>
    <w:rsid w:val="0008033F"/>
    <w:rsid w:val="00094D17"/>
    <w:rsid w:val="00094EF0"/>
    <w:rsid w:val="00095507"/>
    <w:rsid w:val="00095603"/>
    <w:rsid w:val="000A0142"/>
    <w:rsid w:val="000A28B3"/>
    <w:rsid w:val="000B1272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BAB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3DCE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D44F6"/>
    <w:rsid w:val="003E464C"/>
    <w:rsid w:val="003E6B3F"/>
    <w:rsid w:val="003F617C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72D"/>
    <w:rsid w:val="00501B5E"/>
    <w:rsid w:val="00502F6E"/>
    <w:rsid w:val="00526D15"/>
    <w:rsid w:val="005350DF"/>
    <w:rsid w:val="00543397"/>
    <w:rsid w:val="00551FF0"/>
    <w:rsid w:val="00555873"/>
    <w:rsid w:val="0056102D"/>
    <w:rsid w:val="00562C71"/>
    <w:rsid w:val="005643FD"/>
    <w:rsid w:val="00570239"/>
    <w:rsid w:val="005805E2"/>
    <w:rsid w:val="005945E4"/>
    <w:rsid w:val="005A0622"/>
    <w:rsid w:val="005A0FDC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651BC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11C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2B30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7CC1"/>
    <w:rsid w:val="00887E24"/>
    <w:rsid w:val="00893176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1689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3E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0AC2"/>
    <w:rsid w:val="009B2103"/>
    <w:rsid w:val="009B6B9A"/>
    <w:rsid w:val="009E0812"/>
    <w:rsid w:val="009E1FC5"/>
    <w:rsid w:val="009E75DD"/>
    <w:rsid w:val="009F05E5"/>
    <w:rsid w:val="009F1298"/>
    <w:rsid w:val="00A03536"/>
    <w:rsid w:val="00A040A4"/>
    <w:rsid w:val="00A06983"/>
    <w:rsid w:val="00A11196"/>
    <w:rsid w:val="00A13193"/>
    <w:rsid w:val="00A13774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E2A1B"/>
    <w:rsid w:val="00AF1F12"/>
    <w:rsid w:val="00AF3008"/>
    <w:rsid w:val="00AF328E"/>
    <w:rsid w:val="00AF6122"/>
    <w:rsid w:val="00B01B36"/>
    <w:rsid w:val="00B05DC2"/>
    <w:rsid w:val="00B07B22"/>
    <w:rsid w:val="00B15243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67C1B"/>
    <w:rsid w:val="00D70897"/>
    <w:rsid w:val="00D7158D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6C87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E2AAF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0A5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0FBE"/>
    <w:rsid w:val="00FD3EEA"/>
    <w:rsid w:val="00FD4100"/>
    <w:rsid w:val="00FD6D4D"/>
    <w:rsid w:val="00FE1167"/>
    <w:rsid w:val="00FE1EDA"/>
    <w:rsid w:val="00FE4B39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226DA"/>
  <w15:chartTrackingRefBased/>
  <w15:docId w15:val="{ADD48053-8BCB-C947-94B6-F09E10A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232D-4E18-428F-9127-98016C5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10809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2023-02-10T06:33:00Z</dcterms:created>
  <dcterms:modified xsi:type="dcterms:W3CDTF">2023-02-10T06:33:00Z</dcterms:modified>
</cp:coreProperties>
</file>